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59" w:rsidRDefault="009F6159" w:rsidP="009F6159">
      <w:pPr>
        <w:ind w:right="1102"/>
        <w:jc w:val="both"/>
        <w:rPr>
          <w:rFonts w:ascii="Arial" w:hAnsi="Arial" w:cs="Arial"/>
          <w:b/>
          <w:sz w:val="28"/>
          <w:szCs w:val="28"/>
          <w:lang w:val="en-US"/>
        </w:rPr>
      </w:pPr>
      <w:r w:rsidRPr="007F402E">
        <w:rPr>
          <w:rFonts w:ascii="Arial" w:hAnsi="Arial" w:cs="Arial"/>
          <w:b/>
          <w:sz w:val="28"/>
          <w:szCs w:val="28"/>
          <w:lang w:val="en-US"/>
        </w:rPr>
        <w:t>The ESSER F</w:t>
      </w:r>
      <w:r w:rsidRPr="006A0A15">
        <w:rPr>
          <w:rFonts w:ascii="Arial" w:hAnsi="Arial" w:cs="Arial"/>
          <w:b/>
          <w:sz w:val="28"/>
          <w:szCs w:val="28"/>
          <w:lang w:val="en-US"/>
        </w:rPr>
        <w:t xml:space="preserve">lexES can now be operated remotely </w:t>
      </w:r>
    </w:p>
    <w:p w:rsidR="00496A3D" w:rsidRPr="006A0A15" w:rsidRDefault="00496A3D" w:rsidP="009F6159">
      <w:pPr>
        <w:ind w:right="1102"/>
        <w:jc w:val="both"/>
        <w:rPr>
          <w:rFonts w:ascii="Arial" w:hAnsi="Arial" w:cs="Arial"/>
          <w:b/>
          <w:sz w:val="28"/>
          <w:szCs w:val="28"/>
          <w:lang w:val="en-US"/>
        </w:rPr>
      </w:pPr>
    </w:p>
    <w:p w:rsidR="009F6159" w:rsidRPr="006A0A15" w:rsidRDefault="009F6159" w:rsidP="009F6159">
      <w:pPr>
        <w:ind w:right="1102"/>
        <w:rPr>
          <w:rFonts w:ascii="Arial" w:hAnsi="Arial" w:cs="Arial"/>
          <w:lang w:val="en-US"/>
        </w:rPr>
      </w:pPr>
    </w:p>
    <w:p w:rsidR="009F6159" w:rsidRPr="006A0A15" w:rsidRDefault="009F6159" w:rsidP="009F6159">
      <w:pPr>
        <w:autoSpaceDE w:val="0"/>
        <w:autoSpaceDN w:val="0"/>
        <w:adjustRightInd w:val="0"/>
        <w:spacing w:line="360" w:lineRule="auto"/>
        <w:ind w:right="1102"/>
        <w:jc w:val="both"/>
        <w:rPr>
          <w:rFonts w:ascii="Arial" w:hAnsi="Arial" w:cs="Arial"/>
          <w:lang w:val="en-US"/>
        </w:rPr>
      </w:pPr>
      <w:r w:rsidRPr="00C34F2A">
        <w:rPr>
          <w:rFonts w:ascii="Arial" w:hAnsi="Arial" w:cs="Arial"/>
          <w:lang w:val="en-US"/>
        </w:rPr>
        <w:t>N</w:t>
      </w:r>
      <w:r w:rsidRPr="006A0A15">
        <w:rPr>
          <w:rFonts w:ascii="Arial" w:hAnsi="Arial" w:cs="Arial"/>
          <w:lang w:val="en-US"/>
        </w:rPr>
        <w:t xml:space="preserve">euss, September 14, 2012. The recently introduced </w:t>
      </w:r>
      <w:r w:rsidRPr="00A519D4">
        <w:rPr>
          <w:rFonts w:ascii="Arial" w:hAnsi="Arial" w:cs="Arial"/>
          <w:lang w:val="en-US"/>
        </w:rPr>
        <w:t>FlexES control</w:t>
      </w:r>
      <w:r w:rsidRPr="006A0A15">
        <w:rPr>
          <w:rFonts w:ascii="Arial" w:hAnsi="Arial" w:cs="Arial"/>
          <w:lang w:val="en-US"/>
        </w:rPr>
        <w:t xml:space="preserve"> remote operating unit is based on the latest generation of touch panels and is a convenient solution for decentralized access to the ESSER fire alarm control </w:t>
      </w:r>
      <w:r w:rsidRPr="00E9186C">
        <w:rPr>
          <w:rFonts w:ascii="Arial" w:hAnsi="Arial" w:cs="Arial"/>
          <w:lang w:val="en-US"/>
        </w:rPr>
        <w:t>panel (FACP). This</w:t>
      </w:r>
      <w:r w:rsidRPr="006A0A15">
        <w:rPr>
          <w:rFonts w:ascii="Arial" w:hAnsi="Arial" w:cs="Arial"/>
          <w:lang w:val="en-US"/>
        </w:rPr>
        <w:t xml:space="preserve"> innovative device is also ideally suited </w:t>
      </w:r>
      <w:r w:rsidRPr="000406EA">
        <w:rPr>
          <w:rFonts w:ascii="Arial" w:hAnsi="Arial" w:cs="Arial"/>
          <w:lang w:val="en-US"/>
        </w:rPr>
        <w:t>to controlling a network</w:t>
      </w:r>
      <w:r w:rsidRPr="006A0A15">
        <w:rPr>
          <w:rFonts w:ascii="Arial" w:hAnsi="Arial" w:cs="Arial"/>
          <w:lang w:val="en-US"/>
        </w:rPr>
        <w:t xml:space="preserve">, so all operating processes and conditions on an </w:t>
      </w:r>
      <w:proofErr w:type="spellStart"/>
      <w:r w:rsidRPr="006A0A15">
        <w:rPr>
          <w:rFonts w:ascii="Arial" w:hAnsi="Arial" w:cs="Arial"/>
          <w:lang w:val="en-US"/>
        </w:rPr>
        <w:t>essernet</w:t>
      </w:r>
      <w:proofErr w:type="spellEnd"/>
      <w:r w:rsidRPr="006A0A15">
        <w:rPr>
          <w:rFonts w:ascii="Arial" w:hAnsi="Arial" w:cs="Arial"/>
          <w:lang w:val="en-US"/>
        </w:rPr>
        <w:t xml:space="preserve">® with multiple FACPs can be managed from one point. </w:t>
      </w:r>
    </w:p>
    <w:p w:rsidR="009F6159" w:rsidRPr="006A0A15" w:rsidRDefault="009F6159" w:rsidP="009F6159">
      <w:pPr>
        <w:autoSpaceDE w:val="0"/>
        <w:autoSpaceDN w:val="0"/>
        <w:adjustRightInd w:val="0"/>
        <w:spacing w:line="360" w:lineRule="auto"/>
        <w:ind w:right="1102"/>
        <w:jc w:val="both"/>
        <w:rPr>
          <w:rFonts w:ascii="Arial" w:hAnsi="Arial" w:cs="Arial"/>
          <w:lang w:val="en-US"/>
        </w:rPr>
      </w:pPr>
    </w:p>
    <w:p w:rsidR="009F6159" w:rsidRPr="006A0A15" w:rsidRDefault="009F6159" w:rsidP="009F6159">
      <w:pPr>
        <w:autoSpaceDE w:val="0"/>
        <w:autoSpaceDN w:val="0"/>
        <w:adjustRightInd w:val="0"/>
        <w:spacing w:line="360" w:lineRule="auto"/>
        <w:ind w:right="1102"/>
        <w:jc w:val="both"/>
        <w:rPr>
          <w:rFonts w:ascii="Arial" w:hAnsi="Arial" w:cs="Arial"/>
          <w:lang w:val="en-US"/>
        </w:rPr>
      </w:pPr>
      <w:r>
        <w:rPr>
          <w:rFonts w:ascii="Arial" w:hAnsi="Arial" w:cs="Arial"/>
          <w:lang w:val="en-US"/>
        </w:rPr>
        <w:t>S</w:t>
      </w:r>
      <w:r w:rsidRPr="006A0A15">
        <w:rPr>
          <w:rFonts w:ascii="Arial" w:hAnsi="Arial" w:cs="Arial"/>
          <w:lang w:val="en-US"/>
        </w:rPr>
        <w:t>imilar in design to the FlexES control</w:t>
      </w:r>
      <w:r>
        <w:rPr>
          <w:rFonts w:ascii="Arial" w:hAnsi="Arial" w:cs="Arial"/>
          <w:lang w:val="en-US"/>
        </w:rPr>
        <w:t>,</w:t>
      </w:r>
      <w:r w:rsidRPr="006A0A15">
        <w:rPr>
          <w:rFonts w:ascii="Arial" w:hAnsi="Arial" w:cs="Arial"/>
          <w:lang w:val="en-US"/>
        </w:rPr>
        <w:t xml:space="preserve"> </w:t>
      </w:r>
      <w:r>
        <w:rPr>
          <w:rFonts w:ascii="Arial" w:hAnsi="Arial" w:cs="Arial"/>
          <w:lang w:val="en-US"/>
        </w:rPr>
        <w:t>t</w:t>
      </w:r>
      <w:r w:rsidRPr="006A0A15">
        <w:rPr>
          <w:rFonts w:ascii="Arial" w:hAnsi="Arial" w:cs="Arial"/>
          <w:lang w:val="en-US"/>
        </w:rPr>
        <w:t xml:space="preserve">he user interface is quick and intuitive to operate. The 16:9 widescreen touch panel with its black polished aluminum frame has WVGA resolution. Different levels of access managed by corresponding authorization codes enable hierarchical control based on user rights. The remote operating unit can be used at distances </w:t>
      </w:r>
      <w:r>
        <w:rPr>
          <w:rFonts w:ascii="Arial" w:hAnsi="Arial" w:cs="Arial"/>
          <w:lang w:val="en-US"/>
        </w:rPr>
        <w:t xml:space="preserve">of </w:t>
      </w:r>
      <w:r w:rsidRPr="006A0A15">
        <w:rPr>
          <w:rFonts w:ascii="Arial" w:hAnsi="Arial" w:cs="Arial"/>
          <w:lang w:val="en-US"/>
        </w:rPr>
        <w:t>up to 1000 meters from the fire alarm control panel. This ensures great flexibility in the distribution of information relevant to operation and notification on the premises. It can be mounted on or flush with any suitable surface. Languages available for the user interface are German, English, Russian</w:t>
      </w:r>
      <w:r>
        <w:rPr>
          <w:rFonts w:ascii="Arial" w:hAnsi="Arial" w:cs="Arial"/>
          <w:lang w:val="en-US"/>
        </w:rPr>
        <w:t xml:space="preserve"> </w:t>
      </w:r>
      <w:r w:rsidRPr="006A0A15">
        <w:rPr>
          <w:rFonts w:ascii="Arial" w:hAnsi="Arial" w:cs="Arial"/>
          <w:lang w:val="en-US"/>
        </w:rPr>
        <w:t xml:space="preserve">and French. The language can be switched during operation. Additional languages will be available soon. </w:t>
      </w:r>
    </w:p>
    <w:p w:rsidR="009F6159" w:rsidRPr="006A0A15" w:rsidRDefault="009F6159" w:rsidP="009F6159">
      <w:pPr>
        <w:spacing w:line="360" w:lineRule="auto"/>
        <w:ind w:right="1102"/>
        <w:jc w:val="both"/>
        <w:rPr>
          <w:rFonts w:ascii="Arial" w:hAnsi="Arial" w:cs="Arial"/>
          <w:lang w:val="en-US"/>
        </w:rPr>
      </w:pPr>
    </w:p>
    <w:p w:rsidR="009F6159" w:rsidRPr="006A0A15" w:rsidRDefault="009F6159" w:rsidP="009F6159">
      <w:pPr>
        <w:autoSpaceDE w:val="0"/>
        <w:autoSpaceDN w:val="0"/>
        <w:adjustRightInd w:val="0"/>
        <w:ind w:right="1102"/>
        <w:rPr>
          <w:rFonts w:ascii="Arial" w:hAnsi="Arial" w:cs="Arial"/>
          <w:lang w:val="en-US"/>
        </w:rPr>
      </w:pPr>
    </w:p>
    <w:p w:rsidR="009F6159" w:rsidRPr="006A0A15" w:rsidRDefault="009F6159" w:rsidP="009F6159">
      <w:pPr>
        <w:ind w:right="1102"/>
        <w:rPr>
          <w:rFonts w:ascii="Arial" w:hAnsi="Arial" w:cs="Arial"/>
          <w:lang w:val="en-US"/>
        </w:rPr>
      </w:pP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r w:rsidRPr="00C72BF9">
        <w:rPr>
          <w:rFonts w:ascii="Arial" w:hAnsi="Arial" w:cs="Arial"/>
          <w:color w:val="000000"/>
          <w:u w:val="single"/>
          <w:lang w:val="en-US" w:eastAsia="en-US"/>
        </w:rPr>
        <w:t>1,235 characters (incl. spaces)</w:t>
      </w: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r w:rsidRPr="006A0A15">
        <w:rPr>
          <w:rFonts w:ascii="Arial" w:hAnsi="Arial" w:cs="Arial"/>
          <w:color w:val="000000"/>
          <w:u w:val="single"/>
          <w:lang w:val="en-US" w:eastAsia="en-US"/>
        </w:rPr>
        <w:br w:type="page"/>
      </w: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p>
    <w:p w:rsidR="009F6159" w:rsidRPr="006A0A15" w:rsidRDefault="009F6159" w:rsidP="009F6159">
      <w:pPr>
        <w:spacing w:after="240" w:line="260" w:lineRule="exact"/>
        <w:ind w:right="22"/>
        <w:rPr>
          <w:rFonts w:ascii="Arial" w:hAnsi="Arial"/>
          <w:b/>
          <w:sz w:val="20"/>
          <w:lang w:val="en-US"/>
        </w:rPr>
      </w:pPr>
      <w:r w:rsidRPr="006A0A15">
        <w:rPr>
          <w:rFonts w:ascii="Arial" w:hAnsi="Arial"/>
          <w:b/>
          <w:sz w:val="20"/>
          <w:lang w:val="en-US"/>
        </w:rPr>
        <w:t>Contact:</w:t>
      </w:r>
      <w:r w:rsidRPr="006A0A15">
        <w:rPr>
          <w:rFonts w:ascii="Arial" w:hAnsi="Arial"/>
          <w:sz w:val="20"/>
          <w:lang w:val="en-US"/>
        </w:rPr>
        <w:t xml:space="preserve"> Joachim Meisehen, Marketing/Communications +49 (0) 21 37/17-226   </w:t>
      </w:r>
    </w:p>
    <w:p w:rsidR="009F6159" w:rsidRPr="006A0A15" w:rsidRDefault="009F6159" w:rsidP="009F6159">
      <w:pPr>
        <w:ind w:right="22"/>
        <w:rPr>
          <w:rFonts w:ascii="Arial" w:hAnsi="Arial"/>
          <w:sz w:val="20"/>
          <w:lang w:val="en-US"/>
        </w:rPr>
      </w:pPr>
      <w:r w:rsidRPr="005B0804">
        <w:rPr>
          <w:rFonts w:ascii="Arial" w:hAnsi="Arial"/>
          <w:sz w:val="20"/>
          <w:lang w:val="en-US"/>
        </w:rPr>
        <w:t>http://www.esser-systems.com/en/press.html</w:t>
      </w:r>
      <w:r w:rsidRPr="008E4D8F">
        <w:rPr>
          <w:rFonts w:ascii="Arial" w:hAnsi="Arial"/>
          <w:sz w:val="20"/>
          <w:lang w:val="en-US"/>
        </w:rPr>
        <w:t xml:space="preserve"> </w:t>
      </w:r>
    </w:p>
    <w:p w:rsidR="009F6159" w:rsidRPr="006A0A15" w:rsidRDefault="009F6159" w:rsidP="009F6159">
      <w:pPr>
        <w:ind w:right="1102"/>
        <w:rPr>
          <w:rFonts w:ascii="Arial" w:hAnsi="Arial"/>
          <w:sz w:val="20"/>
          <w:lang w:val="en-US"/>
        </w:rPr>
      </w:pP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r w:rsidRPr="006A0A15">
        <w:rPr>
          <w:rFonts w:ascii="Arial" w:hAnsi="Arial" w:cs="Arial"/>
          <w:color w:val="000000"/>
          <w:u w:val="single"/>
          <w:lang w:val="en-US" w:eastAsia="en-US"/>
        </w:rPr>
        <w:t>Image:</w:t>
      </w: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p>
    <w:p w:rsidR="009F6159" w:rsidRPr="006A0A15" w:rsidRDefault="00DC5F76" w:rsidP="009F6159">
      <w:pPr>
        <w:tabs>
          <w:tab w:val="left" w:pos="142"/>
        </w:tabs>
        <w:autoSpaceDE w:val="0"/>
        <w:autoSpaceDN w:val="0"/>
        <w:adjustRightInd w:val="0"/>
        <w:ind w:right="1102"/>
        <w:rPr>
          <w:rFonts w:ascii="Arial" w:hAnsi="Arial" w:cs="Arial"/>
          <w:color w:val="000000"/>
          <w:u w:val="single"/>
          <w:lang w:val="en-US" w:eastAsia="en-US"/>
        </w:rPr>
      </w:pPr>
      <w:r w:rsidRPr="000E2A64">
        <w:rPr>
          <w:rFonts w:ascii="Arial" w:hAnsi="Arial" w:cs="Arial"/>
          <w:color w:val="00000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23.5pt">
            <v:imagedata r:id="rId7" o:title=""/>
          </v:shape>
        </w:pict>
      </w:r>
    </w:p>
    <w:p w:rsidR="009F6159" w:rsidRPr="006A0A15" w:rsidRDefault="009F6159" w:rsidP="009F6159">
      <w:pPr>
        <w:tabs>
          <w:tab w:val="left" w:pos="142"/>
        </w:tabs>
        <w:autoSpaceDE w:val="0"/>
        <w:autoSpaceDN w:val="0"/>
        <w:adjustRightInd w:val="0"/>
        <w:ind w:right="1102"/>
        <w:rPr>
          <w:rFonts w:ascii="Arial" w:hAnsi="Arial" w:cs="Arial"/>
          <w:color w:val="000000"/>
          <w:u w:val="single"/>
          <w:lang w:val="en-US" w:eastAsia="en-US"/>
        </w:rPr>
      </w:pPr>
    </w:p>
    <w:p w:rsidR="009F6159" w:rsidRPr="006A0A15" w:rsidRDefault="009F6159" w:rsidP="009F6159">
      <w:pPr>
        <w:tabs>
          <w:tab w:val="left" w:pos="142"/>
        </w:tabs>
        <w:autoSpaceDE w:val="0"/>
        <w:autoSpaceDN w:val="0"/>
        <w:adjustRightInd w:val="0"/>
        <w:ind w:right="1102"/>
        <w:rPr>
          <w:rFonts w:ascii="Arial" w:hAnsi="Arial" w:cs="Arial"/>
          <w:color w:val="000000"/>
          <w:lang w:val="en-US" w:eastAsia="en-US"/>
        </w:rPr>
      </w:pPr>
      <w:r w:rsidRPr="006A0A15">
        <w:rPr>
          <w:rFonts w:ascii="Arial" w:hAnsi="Arial" w:cs="Arial"/>
          <w:color w:val="000000"/>
          <w:lang w:val="en-US" w:eastAsia="en-US"/>
        </w:rPr>
        <w:t xml:space="preserve">BU: Remote display and operating panel for the FlexES </w:t>
      </w:r>
      <w:r w:rsidRPr="00E9186C">
        <w:rPr>
          <w:rFonts w:ascii="Arial" w:hAnsi="Arial" w:cs="Arial"/>
          <w:lang w:val="en-US" w:eastAsia="en-US"/>
        </w:rPr>
        <w:t>fire detection</w:t>
      </w:r>
      <w:r w:rsidRPr="00883A4B">
        <w:rPr>
          <w:rFonts w:ascii="Arial" w:hAnsi="Arial" w:cs="Arial"/>
          <w:color w:val="4F81BD"/>
          <w:lang w:val="en-US" w:eastAsia="en-US"/>
        </w:rPr>
        <w:t xml:space="preserve"> </w:t>
      </w:r>
      <w:r w:rsidRPr="006A0A15">
        <w:rPr>
          <w:rFonts w:ascii="Arial" w:hAnsi="Arial" w:cs="Arial"/>
          <w:color w:val="000000"/>
          <w:lang w:val="en-US" w:eastAsia="en-US"/>
        </w:rPr>
        <w:t>system</w:t>
      </w:r>
    </w:p>
    <w:p w:rsidR="00657319" w:rsidRPr="00717F84" w:rsidRDefault="00657319" w:rsidP="00657319">
      <w:pPr>
        <w:rPr>
          <w:rFonts w:ascii="Arial" w:hAnsi="Arial" w:cs="Arial"/>
          <w:i/>
          <w:sz w:val="20"/>
          <w:lang w:val="en-US"/>
        </w:rPr>
      </w:pPr>
      <w:r w:rsidRPr="00717F84">
        <w:rPr>
          <w:rFonts w:ascii="Arial" w:hAnsi="Arial"/>
          <w:lang w:val="en-US"/>
        </w:rPr>
        <w:br w:type="page"/>
      </w:r>
      <w:r w:rsidRPr="00717F84">
        <w:rPr>
          <w:rFonts w:ascii="Arial" w:hAnsi="Arial" w:cs="Arial"/>
          <w:i/>
          <w:sz w:val="20"/>
          <w:lang w:val="en-US"/>
        </w:rPr>
        <w:lastRenderedPageBreak/>
        <w:t xml:space="preserve">Rich in tradition, the Ackermann and ESSER brands make Novar GmbH, part of the Honeywell Group, a market leader in the area of fire detection technology, voice alarm systems as well as in hospital and health care communication. </w:t>
      </w:r>
    </w:p>
    <w:p w:rsidR="00657319" w:rsidRPr="00717F84" w:rsidRDefault="00657319" w:rsidP="00657319">
      <w:pPr>
        <w:tabs>
          <w:tab w:val="left" w:pos="142"/>
        </w:tabs>
        <w:autoSpaceDE w:val="0"/>
        <w:autoSpaceDN w:val="0"/>
        <w:adjustRightInd w:val="0"/>
        <w:rPr>
          <w:rFonts w:ascii="Arial" w:hAnsi="Arial" w:cs="Arial"/>
          <w:i/>
          <w:sz w:val="20"/>
          <w:lang w:val="en-US"/>
        </w:rPr>
      </w:pPr>
    </w:p>
    <w:p w:rsidR="00657319" w:rsidRPr="00717F84" w:rsidRDefault="00657319" w:rsidP="00657319">
      <w:pPr>
        <w:rPr>
          <w:rFonts w:ascii="Arial" w:hAnsi="Arial" w:cs="Arial"/>
          <w:i/>
          <w:sz w:val="20"/>
          <w:lang w:val="en-US"/>
        </w:rPr>
      </w:pPr>
      <w:r w:rsidRPr="00717F84">
        <w:rPr>
          <w:rFonts w:ascii="Arial" w:hAnsi="Arial" w:cs="Arial"/>
          <w:i/>
          <w:sz w:val="20"/>
          <w:lang w:val="en-US"/>
        </w:rPr>
        <w:t>Honeywell International (</w:t>
      </w:r>
      <w:hyperlink r:id="rId8" w:tooltip="http://www.honeywell.com/" w:history="1">
        <w:r w:rsidRPr="00717F84">
          <w:rPr>
            <w:rFonts w:ascii="Arial" w:hAnsi="Arial" w:cs="Arial"/>
            <w:i/>
            <w:sz w:val="20"/>
            <w:lang w:val="en-US"/>
          </w:rPr>
          <w:t>www.honeywell.com</w:t>
        </w:r>
      </w:hyperlink>
      <w:r w:rsidRPr="00717F84">
        <w:rPr>
          <w:rFonts w:ascii="Arial" w:hAnsi="Arial" w:cs="Arial"/>
          <w:i/>
          <w:sz w:val="20"/>
          <w:lang w:val="en-US"/>
        </w:rPr>
        <w:t xml:space="preserve">) is a diversified Fortune 100 company </w:t>
      </w:r>
      <w:proofErr w:type="gramStart"/>
      <w:r w:rsidRPr="00717F84">
        <w:rPr>
          <w:rFonts w:ascii="Arial" w:hAnsi="Arial" w:cs="Arial"/>
          <w:i/>
          <w:sz w:val="20"/>
          <w:lang w:val="en-US"/>
        </w:rPr>
        <w:t xml:space="preserve">that </w:t>
      </w:r>
      <w:r w:rsidRPr="00717F84">
        <w:rPr>
          <w:rFonts w:ascii="Arial" w:hAnsi="Arial" w:cs="Arial"/>
          <w:b/>
          <w:bCs/>
          <w:i/>
          <w:sz w:val="20"/>
          <w:lang w:val="en-US"/>
        </w:rPr>
        <w:t> </w:t>
      </w:r>
      <w:r w:rsidRPr="00717F84">
        <w:rPr>
          <w:rFonts w:ascii="Arial" w:hAnsi="Arial" w:cs="Arial"/>
          <w:i/>
          <w:sz w:val="20"/>
          <w:lang w:val="en-US"/>
        </w:rPr>
        <w:t>leads</w:t>
      </w:r>
      <w:proofErr w:type="gramEnd"/>
      <w:r w:rsidRPr="00717F84">
        <w:rPr>
          <w:rFonts w:ascii="Arial" w:hAnsi="Arial" w:cs="Arial"/>
          <w:b/>
          <w:bCs/>
          <w:i/>
          <w:sz w:val="20"/>
          <w:lang w:val="en-US"/>
        </w:rPr>
        <w:t> </w:t>
      </w:r>
      <w:r w:rsidRPr="00717F84">
        <w:rPr>
          <w:rFonts w:ascii="Arial" w:hAnsi="Arial" w:cs="Arial"/>
          <w:i/>
          <w:sz w:val="20"/>
          <w:lang w:val="en-US"/>
        </w:rPr>
        <w:t>the field in the areas of technology and production. Honeywell supplies customers across the globe with aeronautical products and services, building control technology (private and commercial), products for the automobile industry, turbo chargers and</w:t>
      </w:r>
      <w:proofErr w:type="gramStart"/>
      <w:r w:rsidRPr="00717F84">
        <w:rPr>
          <w:rFonts w:ascii="Arial" w:hAnsi="Arial" w:cs="Arial"/>
          <w:i/>
          <w:sz w:val="20"/>
          <w:lang w:val="en-US"/>
        </w:rPr>
        <w:t> </w:t>
      </w:r>
      <w:r w:rsidRPr="00717F84">
        <w:rPr>
          <w:rFonts w:ascii="Arial" w:hAnsi="Arial" w:cs="Arial"/>
          <w:b/>
          <w:bCs/>
          <w:i/>
          <w:sz w:val="20"/>
          <w:lang w:val="en-US"/>
        </w:rPr>
        <w:t> </w:t>
      </w:r>
      <w:r w:rsidRPr="00717F84">
        <w:rPr>
          <w:rFonts w:ascii="Arial" w:hAnsi="Arial" w:cs="Arial"/>
          <w:i/>
          <w:sz w:val="20"/>
          <w:lang w:val="en-US"/>
        </w:rPr>
        <w:t>special</w:t>
      </w:r>
      <w:proofErr w:type="gramEnd"/>
      <w:r w:rsidRPr="00717F84">
        <w:rPr>
          <w:rFonts w:ascii="Arial" w:hAnsi="Arial" w:cs="Arial"/>
          <w:i/>
          <w:sz w:val="20"/>
          <w:lang w:val="en-US"/>
        </w:rPr>
        <w:t xml:space="preserve"> materials. Honeywell operates within the EMEA region (Europe, the Middle East and Africa) in over 35 countries and has around 30 000 employees there. </w:t>
      </w:r>
      <w:proofErr w:type="gramStart"/>
      <w:r w:rsidRPr="00717F84">
        <w:rPr>
          <w:rFonts w:ascii="Arial" w:hAnsi="Arial" w:cs="Arial"/>
          <w:i/>
          <w:sz w:val="20"/>
          <w:lang w:val="en-US"/>
        </w:rPr>
        <w:t>Honeywell shares are traded on the New York, London and Chicago stock exchanges.</w:t>
      </w:r>
      <w:proofErr w:type="gramEnd"/>
      <w:r w:rsidRPr="00717F84">
        <w:rPr>
          <w:rFonts w:ascii="Arial" w:hAnsi="Arial" w:cs="Arial"/>
          <w:i/>
          <w:sz w:val="20"/>
          <w:lang w:val="en-US"/>
        </w:rPr>
        <w:t xml:space="preserve"> For further information see </w:t>
      </w:r>
      <w:hyperlink r:id="rId9" w:tooltip="http://www.honeywellnow.com/" w:history="1">
        <w:r w:rsidRPr="00717F84">
          <w:rPr>
            <w:rFonts w:ascii="Arial" w:hAnsi="Arial" w:cs="Arial"/>
            <w:i/>
            <w:sz w:val="20"/>
            <w:lang w:val="en-US"/>
          </w:rPr>
          <w:t>www.honeywellnow.com</w:t>
        </w:r>
      </w:hyperlink>
      <w:r w:rsidRPr="00717F84">
        <w:rPr>
          <w:rFonts w:ascii="Arial" w:hAnsi="Arial" w:cs="Arial"/>
          <w:i/>
          <w:sz w:val="20"/>
          <w:lang w:val="en-US"/>
        </w:rPr>
        <w:t>.</w:t>
      </w:r>
    </w:p>
    <w:p w:rsidR="00657319" w:rsidRPr="00717F84" w:rsidRDefault="00657319" w:rsidP="00657319">
      <w:pPr>
        <w:spacing w:after="240" w:line="195" w:lineRule="atLeast"/>
        <w:rPr>
          <w:rFonts w:ascii="Arial" w:hAnsi="Arial" w:cs="Arial"/>
          <w:sz w:val="20"/>
          <w:lang w:val="en-US"/>
        </w:rPr>
      </w:pPr>
    </w:p>
    <w:p w:rsidR="00657319" w:rsidRPr="00717F84" w:rsidRDefault="000E2A64" w:rsidP="00657319">
      <w:pPr>
        <w:pStyle w:val="Textkrper-Zeileneinzug"/>
        <w:jc w:val="center"/>
        <w:rPr>
          <w:rFonts w:ascii="Arial" w:hAnsi="Arial" w:cs="Arial"/>
          <w:i/>
          <w:sz w:val="20"/>
          <w:lang w:val="en-US"/>
        </w:rPr>
      </w:pPr>
      <w:r w:rsidRPr="000E2A64">
        <w:rPr>
          <w:noProof/>
          <w:lang w:val="en-US" w:eastAsia="ja-JP" w:bidi="hi-IN"/>
        </w:rPr>
        <w:pict>
          <v:rect id="_x0000_s2057" style="position:absolute;left:0;text-align:left;margin-left:.35pt;margin-top:4.5pt;width:468pt;height:84.55pt;z-index:1" filled="f"/>
        </w:pict>
      </w:r>
    </w:p>
    <w:p w:rsidR="00657319" w:rsidRPr="00717F84" w:rsidRDefault="00657319" w:rsidP="00657319">
      <w:pPr>
        <w:pStyle w:val="Textkrper-Zeileneinzug"/>
        <w:ind w:left="0"/>
        <w:jc w:val="center"/>
        <w:rPr>
          <w:rFonts w:ascii="Arial" w:hAnsi="Arial"/>
          <w:i/>
          <w:sz w:val="20"/>
          <w:lang w:val="en-US"/>
        </w:rPr>
      </w:pPr>
      <w:r w:rsidRPr="00717F84">
        <w:rPr>
          <w:rFonts w:ascii="Arial" w:hAnsi="Arial"/>
          <w:i/>
          <w:sz w:val="20"/>
          <w:szCs w:val="24"/>
          <w:lang w:val="en-US"/>
        </w:rPr>
        <w:t xml:space="preserve">This publication contains anticipatory statements according to the definition in section 21E </w:t>
      </w:r>
      <w:r w:rsidRPr="00717F84">
        <w:rPr>
          <w:rFonts w:ascii="Arial" w:hAnsi="Arial"/>
          <w:i/>
          <w:sz w:val="20"/>
          <w:szCs w:val="24"/>
          <w:lang w:val="en-US"/>
        </w:rPr>
        <w:br/>
        <w:t>of the Securities Exchange Act (</w:t>
      </w:r>
      <w:proofErr w:type="spellStart"/>
      <w:r w:rsidRPr="00717F84">
        <w:rPr>
          <w:rFonts w:ascii="Arial" w:hAnsi="Arial"/>
          <w:i/>
          <w:sz w:val="20"/>
          <w:szCs w:val="24"/>
          <w:lang w:val="en-US"/>
        </w:rPr>
        <w:t>Wertpapierbörsengesetz</w:t>
      </w:r>
      <w:proofErr w:type="spellEnd"/>
      <w:r w:rsidRPr="00717F84">
        <w:rPr>
          <w:rFonts w:ascii="Arial" w:hAnsi="Arial"/>
          <w:i/>
          <w:sz w:val="20"/>
          <w:szCs w:val="24"/>
          <w:lang w:val="en-US"/>
        </w:rPr>
        <w:t xml:space="preserve">) of 1934, including information </w:t>
      </w:r>
      <w:r w:rsidRPr="00717F84">
        <w:rPr>
          <w:rFonts w:ascii="Arial" w:hAnsi="Arial"/>
          <w:i/>
          <w:sz w:val="20"/>
          <w:szCs w:val="24"/>
          <w:lang w:val="en-US"/>
        </w:rPr>
        <w:br/>
        <w:t>on future business processes, financial results and market conditions. Such anticipatory statements contain the risks usual for business predictions and uncertainties as described in more detail in the documents according to the Securities Exchange Acts.</w:t>
      </w:r>
    </w:p>
    <w:p w:rsidR="00657319" w:rsidRPr="00717F84" w:rsidRDefault="00657319" w:rsidP="00657319">
      <w:pPr>
        <w:pStyle w:val="Textkrper-Zeileneinzug"/>
        <w:ind w:left="0"/>
        <w:jc w:val="center"/>
        <w:rPr>
          <w:rFonts w:ascii="Arial" w:hAnsi="Arial" w:cs="Arial"/>
          <w:i/>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tabs>
          <w:tab w:val="left" w:pos="5160"/>
        </w:tabs>
        <w:rPr>
          <w:rFonts w:ascii="Arial" w:hAnsi="Arial"/>
          <w:b/>
          <w:sz w:val="20"/>
          <w:lang w:val="en-US"/>
        </w:rPr>
      </w:pPr>
    </w:p>
    <w:p w:rsidR="00657319" w:rsidRPr="00717F84" w:rsidRDefault="00657319" w:rsidP="00657319">
      <w:pPr>
        <w:rPr>
          <w:rFonts w:ascii="Arial" w:hAnsi="Arial"/>
          <w:b/>
          <w:sz w:val="20"/>
          <w:lang w:val="en-US"/>
        </w:rPr>
      </w:pPr>
    </w:p>
    <w:p w:rsidR="002A09BA" w:rsidRPr="00657319" w:rsidRDefault="002A09BA" w:rsidP="00657319">
      <w:pPr>
        <w:rPr>
          <w:lang w:val="en-US"/>
        </w:rPr>
      </w:pPr>
    </w:p>
    <w:sectPr w:rsidR="002A09BA" w:rsidRPr="00657319" w:rsidSect="002A09BA">
      <w:headerReference w:type="default" r:id="rId10"/>
      <w:pgSz w:w="11906" w:h="16838" w:code="9"/>
      <w:pgMar w:top="1245" w:right="1191" w:bottom="899" w:left="1418"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63" w:rsidRDefault="00864963">
      <w:r>
        <w:separator/>
      </w:r>
    </w:p>
  </w:endnote>
  <w:endnote w:type="continuationSeparator" w:id="0">
    <w:p w:rsidR="00864963" w:rsidRDefault="00864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63" w:rsidRDefault="00864963">
      <w:r>
        <w:separator/>
      </w:r>
    </w:p>
  </w:footnote>
  <w:footnote w:type="continuationSeparator" w:id="0">
    <w:p w:rsidR="00864963" w:rsidRDefault="00864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0" w:rsidRDefault="000E2A64" w:rsidP="00F908DB">
    <w:pPr>
      <w:pStyle w:val="Kopfzeile"/>
      <w:tabs>
        <w:tab w:val="clear" w:pos="4536"/>
        <w:tab w:val="clear" w:pos="9072"/>
        <w:tab w:val="right" w:pos="10620"/>
      </w:tabs>
      <w:ind w:left="-1417" w:right="-136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5pt;height:168.75pt">
          <v:imagedata r:id="rId1" o:title="letterhead_press_report_3C_d_09_2010"/>
        </v:shape>
      </w:pict>
    </w:r>
    <w:r w:rsidR="00581250">
      <w:t xml:space="preserve">                             </w:t>
    </w:r>
  </w:p>
  <w:p w:rsidR="00CF7E15" w:rsidRDefault="00581250" w:rsidP="006D41C0">
    <w:pPr>
      <w:pStyle w:val="Kopfzeile"/>
      <w:tabs>
        <w:tab w:val="clear" w:pos="4536"/>
        <w:tab w:val="clear" w:pos="9072"/>
        <w:tab w:val="right" w:pos="10620"/>
      </w:tabs>
      <w:ind w:left="-1417" w:right="-1368"/>
      <w:rPr>
        <w:rFonts w:ascii="Arial" w:hAnsi="Arial" w:cs="Arial"/>
        <w:sz w:val="14"/>
        <w:szCs w:val="14"/>
      </w:rPr>
    </w:pPr>
    <w:r>
      <w:t xml:space="preserve">                                                </w:t>
    </w:r>
    <w:r w:rsidR="006D41C0">
      <w:rPr>
        <w:rFonts w:ascii="Arial" w:hAnsi="Arial" w:cs="Arial"/>
        <w:sz w:val="14"/>
        <w:szCs w:val="14"/>
      </w:rPr>
      <w:t xml:space="preserve">                              </w:t>
    </w:r>
    <w:r w:rsidR="003C6C5A">
      <w:rPr>
        <w:rFonts w:ascii="Arial" w:hAnsi="Arial" w:cs="Arial"/>
        <w:sz w:val="14"/>
        <w:szCs w:val="14"/>
      </w:rPr>
      <w:t xml:space="preserve">       </w:t>
    </w:r>
  </w:p>
  <w:p w:rsidR="00535CE3" w:rsidRDefault="00535CE3" w:rsidP="002C1FBC">
    <w:pPr>
      <w:pStyle w:val="Kopfzeile"/>
      <w:tabs>
        <w:tab w:val="clear" w:pos="4536"/>
        <w:tab w:val="clear" w:pos="9072"/>
        <w:tab w:val="right" w:pos="10620"/>
      </w:tabs>
      <w:ind w:right="-1368"/>
      <w:rPr>
        <w:rFonts w:ascii="Arial" w:hAnsi="Arial" w:cs="Arial"/>
        <w:b/>
        <w:sz w:val="14"/>
        <w:szCs w:val="14"/>
      </w:rPr>
    </w:pPr>
  </w:p>
  <w:p w:rsidR="00D05E78" w:rsidRDefault="00D05E78" w:rsidP="002C1FBC">
    <w:pPr>
      <w:pStyle w:val="Kopfzeile"/>
      <w:tabs>
        <w:tab w:val="clear" w:pos="4536"/>
        <w:tab w:val="clear" w:pos="9072"/>
        <w:tab w:val="right" w:pos="10620"/>
      </w:tabs>
      <w:ind w:right="-1368"/>
      <w:rPr>
        <w:rFonts w:ascii="Arial" w:hAnsi="Arial" w:cs="Arial"/>
        <w:b/>
        <w:sz w:val="14"/>
        <w:szCs w:val="14"/>
      </w:rPr>
    </w:pPr>
  </w:p>
  <w:p w:rsidR="00D05E78" w:rsidRDefault="00D05E78" w:rsidP="002C1FBC">
    <w:pPr>
      <w:pStyle w:val="Kopfzeile"/>
      <w:tabs>
        <w:tab w:val="clear" w:pos="4536"/>
        <w:tab w:val="clear" w:pos="9072"/>
        <w:tab w:val="right" w:pos="10620"/>
      </w:tabs>
      <w:ind w:right="-1368"/>
      <w:rPr>
        <w:rFonts w:ascii="Arial" w:hAnsi="Arial" w:cs="Arial"/>
        <w:b/>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21E44"/>
    <w:multiLevelType w:val="hybridMultilevel"/>
    <w:tmpl w:val="B4AA6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hyphenationZone w:val="425"/>
  <w:noPunctuationKerning/>
  <w:characterSpacingControl w:val="doNotCompress"/>
  <w:hdrShapeDefaults>
    <o:shapedefaults v:ext="edit" spidmax="7170">
      <o:colormenu v:ext="edit" strokecolor="silver"/>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A36"/>
    <w:rsid w:val="0006685F"/>
    <w:rsid w:val="000C244C"/>
    <w:rsid w:val="000D2AA2"/>
    <w:rsid w:val="000E0024"/>
    <w:rsid w:val="000E2A64"/>
    <w:rsid w:val="001165C3"/>
    <w:rsid w:val="00194AEA"/>
    <w:rsid w:val="00194DDB"/>
    <w:rsid w:val="002320A0"/>
    <w:rsid w:val="002A09BA"/>
    <w:rsid w:val="002B509C"/>
    <w:rsid w:val="002C1FBC"/>
    <w:rsid w:val="00310CA3"/>
    <w:rsid w:val="00320F88"/>
    <w:rsid w:val="00322045"/>
    <w:rsid w:val="00357485"/>
    <w:rsid w:val="0036133A"/>
    <w:rsid w:val="003C6C5A"/>
    <w:rsid w:val="0042743B"/>
    <w:rsid w:val="00431980"/>
    <w:rsid w:val="00483383"/>
    <w:rsid w:val="00484173"/>
    <w:rsid w:val="00487287"/>
    <w:rsid w:val="00496A3D"/>
    <w:rsid w:val="004A7E22"/>
    <w:rsid w:val="00535CE3"/>
    <w:rsid w:val="00581250"/>
    <w:rsid w:val="00595719"/>
    <w:rsid w:val="005B0804"/>
    <w:rsid w:val="005D3B98"/>
    <w:rsid w:val="006356B1"/>
    <w:rsid w:val="0064072A"/>
    <w:rsid w:val="0065203A"/>
    <w:rsid w:val="00657319"/>
    <w:rsid w:val="0068233D"/>
    <w:rsid w:val="00683C37"/>
    <w:rsid w:val="006A407C"/>
    <w:rsid w:val="006D41C0"/>
    <w:rsid w:val="00703488"/>
    <w:rsid w:val="00720F47"/>
    <w:rsid w:val="007340F9"/>
    <w:rsid w:val="007B01EC"/>
    <w:rsid w:val="007B5322"/>
    <w:rsid w:val="00823B95"/>
    <w:rsid w:val="00864963"/>
    <w:rsid w:val="0086799E"/>
    <w:rsid w:val="00880DA8"/>
    <w:rsid w:val="00910F33"/>
    <w:rsid w:val="009535DA"/>
    <w:rsid w:val="00963ED2"/>
    <w:rsid w:val="00972510"/>
    <w:rsid w:val="00980042"/>
    <w:rsid w:val="009A2969"/>
    <w:rsid w:val="009C341A"/>
    <w:rsid w:val="009F6159"/>
    <w:rsid w:val="00A03901"/>
    <w:rsid w:val="00A43F1B"/>
    <w:rsid w:val="00A46B4F"/>
    <w:rsid w:val="00A55005"/>
    <w:rsid w:val="00A81176"/>
    <w:rsid w:val="00B10830"/>
    <w:rsid w:val="00B133C1"/>
    <w:rsid w:val="00B2769D"/>
    <w:rsid w:val="00B640A3"/>
    <w:rsid w:val="00B74D56"/>
    <w:rsid w:val="00BC65FF"/>
    <w:rsid w:val="00BF7D7B"/>
    <w:rsid w:val="00C06FFD"/>
    <w:rsid w:val="00C639C9"/>
    <w:rsid w:val="00C94E86"/>
    <w:rsid w:val="00CB1A4D"/>
    <w:rsid w:val="00CF4800"/>
    <w:rsid w:val="00CF5383"/>
    <w:rsid w:val="00CF7E15"/>
    <w:rsid w:val="00D05E78"/>
    <w:rsid w:val="00D17D2B"/>
    <w:rsid w:val="00D25B30"/>
    <w:rsid w:val="00D33D38"/>
    <w:rsid w:val="00D43BC6"/>
    <w:rsid w:val="00D51AC2"/>
    <w:rsid w:val="00D56FAC"/>
    <w:rsid w:val="00DA2A36"/>
    <w:rsid w:val="00DB41E3"/>
    <w:rsid w:val="00DB645E"/>
    <w:rsid w:val="00DC0987"/>
    <w:rsid w:val="00DC3B44"/>
    <w:rsid w:val="00DC5F76"/>
    <w:rsid w:val="00E0745E"/>
    <w:rsid w:val="00EA682D"/>
    <w:rsid w:val="00ED464D"/>
    <w:rsid w:val="00F072D4"/>
    <w:rsid w:val="00F62D30"/>
    <w:rsid w:val="00F64838"/>
    <w:rsid w:val="00F908DB"/>
    <w:rsid w:val="00F9178D"/>
    <w:rsid w:val="00FA590D"/>
    <w:rsid w:val="00FB0242"/>
    <w:rsid w:val="00FE7FCB"/>
    <w:rsid w:val="00FF3A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4800"/>
    <w:rPr>
      <w:rFonts w:ascii="Times" w:eastAsia="Times" w:hAnsi="Times"/>
      <w:sz w:val="24"/>
      <w:lang w:val="de-DE" w:eastAsia="de-DE"/>
    </w:rPr>
  </w:style>
  <w:style w:type="paragraph" w:styleId="berschrift4">
    <w:name w:val="heading 4"/>
    <w:basedOn w:val="Standard"/>
    <w:next w:val="Standard"/>
    <w:qFormat/>
    <w:rsid w:val="00CF4800"/>
    <w:pPr>
      <w:keepNext/>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5B30"/>
    <w:pPr>
      <w:tabs>
        <w:tab w:val="center" w:pos="4536"/>
        <w:tab w:val="right" w:pos="9072"/>
      </w:tabs>
    </w:pPr>
  </w:style>
  <w:style w:type="paragraph" w:styleId="Fuzeile">
    <w:name w:val="footer"/>
    <w:basedOn w:val="Standard"/>
    <w:rsid w:val="00D25B30"/>
    <w:pPr>
      <w:tabs>
        <w:tab w:val="center" w:pos="4536"/>
        <w:tab w:val="right" w:pos="9072"/>
      </w:tabs>
    </w:pPr>
  </w:style>
  <w:style w:type="character" w:styleId="Hyperlink">
    <w:name w:val="Hyperlink"/>
    <w:basedOn w:val="Absatz-Standardschriftart"/>
    <w:rsid w:val="00F9178D"/>
    <w:rPr>
      <w:color w:val="0000FF"/>
      <w:u w:val="single"/>
    </w:rPr>
  </w:style>
  <w:style w:type="table" w:styleId="Tabellengitternetz">
    <w:name w:val="Table Grid"/>
    <w:basedOn w:val="NormaleTabelle"/>
    <w:rsid w:val="00B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rsid w:val="00CF4800"/>
    <w:pPr>
      <w:ind w:right="64"/>
      <w:jc w:val="both"/>
    </w:pPr>
    <w:rPr>
      <w:rFonts w:ascii="Verdana" w:hAnsi="Verdana"/>
      <w:sz w:val="20"/>
    </w:rPr>
  </w:style>
  <w:style w:type="character" w:styleId="Seitenzahl">
    <w:name w:val="page number"/>
    <w:basedOn w:val="Absatz-Standardschriftart"/>
    <w:rsid w:val="00C94E86"/>
  </w:style>
  <w:style w:type="character" w:customStyle="1" w:styleId="E-MailFormatvorlage211">
    <w:name w:val="E-MailFormatvorlage21"/>
    <w:aliases w:val="E-MailFormatvorlage21"/>
    <w:basedOn w:val="Absatz-Standardschriftart"/>
    <w:semiHidden/>
    <w:personal/>
    <w:personalCompose/>
    <w:rsid w:val="00A55005"/>
    <w:rPr>
      <w:rFonts w:ascii="Arial" w:hAnsi="Arial" w:cs="Arial"/>
      <w:color w:val="auto"/>
      <w:sz w:val="20"/>
      <w:szCs w:val="20"/>
    </w:rPr>
  </w:style>
  <w:style w:type="paragraph" w:styleId="Sprechblasentext">
    <w:name w:val="Balloon Text"/>
    <w:basedOn w:val="Standard"/>
    <w:semiHidden/>
    <w:rsid w:val="00FE7FCB"/>
    <w:rPr>
      <w:rFonts w:ascii="Tahoma" w:hAnsi="Tahoma" w:cs="Tahoma"/>
      <w:sz w:val="16"/>
      <w:szCs w:val="16"/>
    </w:rPr>
  </w:style>
  <w:style w:type="paragraph" w:styleId="Textkrper-Zeileneinzug">
    <w:name w:val="Body Text Indent"/>
    <w:basedOn w:val="Standard"/>
    <w:link w:val="Textkrper-ZeileneinzugZchn"/>
    <w:rsid w:val="00657319"/>
    <w:pPr>
      <w:spacing w:after="120"/>
      <w:ind w:left="283"/>
    </w:pPr>
    <w:rPr>
      <w:rFonts w:eastAsia="Times New Roman"/>
    </w:rPr>
  </w:style>
  <w:style w:type="character" w:customStyle="1" w:styleId="Textkrper-ZeileneinzugZchn">
    <w:name w:val="Textkörper-Zeileneinzug Zchn"/>
    <w:basedOn w:val="Absatz-Standardschriftart"/>
    <w:link w:val="Textkrper-Zeileneinzug"/>
    <w:rsid w:val="00657319"/>
    <w:rPr>
      <w:rFonts w:ascii="Times" w:hAnsi="Times"/>
      <w:sz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neywe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neywelln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Novar GmbH</Company>
  <LinksUpToDate>false</LinksUpToDate>
  <CharactersWithSpaces>2947</CharactersWithSpaces>
  <SharedDoc>false</SharedDoc>
  <HLinks>
    <vt:vector size="18" baseType="variant">
      <vt:variant>
        <vt:i4>6029398</vt:i4>
      </vt:variant>
      <vt:variant>
        <vt:i4>6</vt:i4>
      </vt:variant>
      <vt:variant>
        <vt:i4>0</vt:i4>
      </vt:variant>
      <vt:variant>
        <vt:i4>5</vt:i4>
      </vt:variant>
      <vt:variant>
        <vt:lpwstr>http://www.honeywellnow.com/</vt:lpwstr>
      </vt:variant>
      <vt:variant>
        <vt:lpwstr/>
      </vt:variant>
      <vt:variant>
        <vt:i4>5439488</vt:i4>
      </vt:variant>
      <vt:variant>
        <vt:i4>3</vt:i4>
      </vt:variant>
      <vt:variant>
        <vt:i4>0</vt:i4>
      </vt:variant>
      <vt:variant>
        <vt:i4>5</vt:i4>
      </vt:variant>
      <vt:variant>
        <vt:lpwstr>http://www.honeywell.com/</vt:lpwstr>
      </vt:variant>
      <vt:variant>
        <vt:lpwstr/>
      </vt:variant>
      <vt:variant>
        <vt:i4>5701706</vt:i4>
      </vt:variant>
      <vt:variant>
        <vt:i4>0</vt:i4>
      </vt:variant>
      <vt:variant>
        <vt:i4>0</vt:i4>
      </vt:variant>
      <vt:variant>
        <vt:i4>5</vt:i4>
      </vt:variant>
      <vt:variant>
        <vt:lpwstr>http://www.esser-systems.com/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Honeywell</dc:creator>
  <cp:lastModifiedBy>e298732</cp:lastModifiedBy>
  <cp:revision>5</cp:revision>
  <cp:lastPrinted>2010-10-01T12:28:00Z</cp:lastPrinted>
  <dcterms:created xsi:type="dcterms:W3CDTF">2012-09-21T12:45:00Z</dcterms:created>
  <dcterms:modified xsi:type="dcterms:W3CDTF">2012-09-21T13:43:00Z</dcterms:modified>
</cp:coreProperties>
</file>